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4981"/>
        <w:gridCol w:w="4981"/>
      </w:tblGrid>
      <w:tr w:rsidR="00D90360" w:rsidRPr="00E97663" w:rsidTr="00152C34">
        <w:trPr>
          <w:cantSplit/>
        </w:trPr>
        <w:tc>
          <w:tcPr>
            <w:tcW w:w="2500" w:type="pct"/>
          </w:tcPr>
          <w:p w:rsidR="00D90360" w:rsidRPr="00E97663" w:rsidRDefault="00D90360" w:rsidP="005F3937">
            <w:pPr>
              <w:jc w:val="both"/>
              <w:rPr>
                <w:rFonts w:ascii="Arial Narrow" w:hAnsi="Arial Narrow"/>
                <w:b/>
                <w:lang w:val="fr-FR"/>
              </w:rPr>
            </w:pPr>
            <w:r w:rsidRPr="00E97663">
              <w:rPr>
                <w:rFonts w:ascii="Arial Narrow" w:hAnsi="Arial Narrow"/>
                <w:b/>
                <w:lang w:val="fr-FR"/>
              </w:rPr>
              <w:t>COMMUNIQUÉ VERS LES MÉDECINS</w:t>
            </w:r>
          </w:p>
        </w:tc>
        <w:tc>
          <w:tcPr>
            <w:tcW w:w="2500" w:type="pct"/>
          </w:tcPr>
          <w:p w:rsidR="00D90360" w:rsidRPr="00E97663" w:rsidRDefault="00D90360" w:rsidP="005F3937">
            <w:pPr>
              <w:jc w:val="both"/>
              <w:rPr>
                <w:rFonts w:ascii="Arial Narrow" w:hAnsi="Arial Narrow"/>
                <w:b/>
                <w:lang w:val="nl-BE"/>
              </w:rPr>
            </w:pPr>
            <w:r w:rsidRPr="00E97663">
              <w:rPr>
                <w:rFonts w:ascii="Arial Narrow" w:hAnsi="Arial Narrow"/>
                <w:b/>
                <w:lang w:val="nl-BE"/>
              </w:rPr>
              <w:t>PERSBERICHT NAAR ARTSEN</w:t>
            </w:r>
            <w:bookmarkStart w:id="0" w:name="_GoBack"/>
            <w:bookmarkEnd w:id="0"/>
          </w:p>
        </w:tc>
      </w:tr>
      <w:tr w:rsidR="00D90360" w:rsidRPr="00E97663" w:rsidTr="00152C34">
        <w:trPr>
          <w:cantSplit/>
        </w:trPr>
        <w:tc>
          <w:tcPr>
            <w:tcW w:w="2500" w:type="pct"/>
          </w:tcPr>
          <w:p w:rsidR="00D90360" w:rsidRPr="00E97663" w:rsidRDefault="00D90360" w:rsidP="005F3937">
            <w:pPr>
              <w:jc w:val="both"/>
              <w:rPr>
                <w:rFonts w:ascii="Arial Narrow" w:hAnsi="Arial Narrow"/>
                <w:b/>
              </w:rPr>
            </w:pPr>
          </w:p>
        </w:tc>
        <w:tc>
          <w:tcPr>
            <w:tcW w:w="2500" w:type="pct"/>
          </w:tcPr>
          <w:p w:rsidR="00D90360" w:rsidRPr="00E97663" w:rsidRDefault="00D90360" w:rsidP="005F3937">
            <w:pPr>
              <w:jc w:val="both"/>
              <w:rPr>
                <w:rFonts w:ascii="Arial Narrow" w:hAnsi="Arial Narrow"/>
                <w:b/>
                <w:lang w:val="nl-BE"/>
              </w:rPr>
            </w:pPr>
          </w:p>
        </w:tc>
      </w:tr>
      <w:tr w:rsidR="00D90360" w:rsidRPr="00E97663" w:rsidTr="00152C34">
        <w:trPr>
          <w:cantSplit/>
        </w:trPr>
        <w:tc>
          <w:tcPr>
            <w:tcW w:w="2500" w:type="pct"/>
          </w:tcPr>
          <w:p w:rsidR="00D90360" w:rsidRPr="00C942A0" w:rsidRDefault="00D90360" w:rsidP="004D478B">
            <w:pPr>
              <w:jc w:val="both"/>
              <w:rPr>
                <w:rFonts w:ascii="Arial Narrow" w:hAnsi="Arial Narrow"/>
                <w:b/>
                <w:lang w:val="fr-FR"/>
              </w:rPr>
            </w:pPr>
            <w:r w:rsidRPr="00C942A0">
              <w:rPr>
                <w:rFonts w:ascii="Arial Narrow" w:hAnsi="Arial Narrow"/>
                <w:b/>
                <w:lang w:val="fr-FR"/>
              </w:rPr>
              <w:t xml:space="preserve">Le SPF Santé publique conseille de limiter autant que possible l’exposition </w:t>
            </w:r>
            <w:r w:rsidR="00C449FA" w:rsidRPr="00C942A0">
              <w:rPr>
                <w:rFonts w:ascii="Arial Narrow" w:hAnsi="Arial Narrow"/>
                <w:b/>
                <w:lang w:val="fr-FR"/>
              </w:rPr>
              <w:t xml:space="preserve">aux pesticides </w:t>
            </w:r>
            <w:r w:rsidRPr="00C942A0">
              <w:rPr>
                <w:rFonts w:ascii="Arial Narrow" w:hAnsi="Arial Narrow"/>
                <w:b/>
                <w:lang w:val="fr-FR"/>
              </w:rPr>
              <w:t>des jeunes enfants et des enfants à naître.</w:t>
            </w:r>
          </w:p>
          <w:p w:rsidR="00D90360" w:rsidRPr="00C942A0" w:rsidRDefault="00D90360" w:rsidP="004D478B">
            <w:pPr>
              <w:jc w:val="both"/>
              <w:rPr>
                <w:rFonts w:ascii="Arial Narrow" w:hAnsi="Arial Narrow"/>
                <w:b/>
                <w:lang w:val="fr-FR"/>
              </w:rPr>
            </w:pPr>
          </w:p>
        </w:tc>
        <w:tc>
          <w:tcPr>
            <w:tcW w:w="2500" w:type="pct"/>
          </w:tcPr>
          <w:p w:rsidR="00D90360" w:rsidRPr="00C942A0" w:rsidRDefault="00D90360" w:rsidP="00967278">
            <w:pPr>
              <w:rPr>
                <w:rFonts w:ascii="Arial Narrow" w:hAnsi="Arial Narrow"/>
                <w:b/>
              </w:rPr>
            </w:pPr>
            <w:r w:rsidRPr="00C942A0">
              <w:rPr>
                <w:rFonts w:ascii="Arial Narrow" w:hAnsi="Arial Narrow"/>
                <w:b/>
              </w:rPr>
              <w:t>FOD Volksgezondheid raadt aan om jonge en ongeboren kinderen zo weinig mogelijk aan pesticiden bloot te stellen.</w:t>
            </w:r>
          </w:p>
        </w:tc>
      </w:tr>
      <w:tr w:rsidR="00D90360" w:rsidRPr="00E97663" w:rsidTr="00152C34">
        <w:trPr>
          <w:cantSplit/>
        </w:trPr>
        <w:tc>
          <w:tcPr>
            <w:tcW w:w="2500" w:type="pct"/>
          </w:tcPr>
          <w:p w:rsidR="00D90360" w:rsidRPr="00C942A0" w:rsidRDefault="00D90360" w:rsidP="00C449FA">
            <w:pPr>
              <w:jc w:val="both"/>
              <w:rPr>
                <w:rFonts w:ascii="Arial Narrow" w:hAnsi="Arial Narrow"/>
                <w:lang w:val="fr-FR"/>
              </w:rPr>
            </w:pPr>
            <w:r w:rsidRPr="00C942A0">
              <w:rPr>
                <w:rFonts w:ascii="Arial Narrow" w:hAnsi="Arial Narrow"/>
                <w:lang w:val="fr-FR"/>
              </w:rPr>
              <w:t xml:space="preserve">Une exposition abondante des enfants à des pesticides (produits phytopharmaceutiques et biocides) </w:t>
            </w:r>
            <w:r w:rsidRPr="00C942A0">
              <w:rPr>
                <w:rFonts w:ascii="Arial Narrow" w:hAnsi="Arial Narrow"/>
                <w:i/>
                <w:lang w:val="fr-FR"/>
              </w:rPr>
              <w:t>in utero</w:t>
            </w:r>
            <w:r w:rsidRPr="00C942A0">
              <w:rPr>
                <w:rFonts w:ascii="Arial Narrow" w:hAnsi="Arial Narrow"/>
                <w:lang w:val="fr-FR"/>
              </w:rPr>
              <w:t xml:space="preserve"> ou dans les premières années de la vie pourrait contribuer à un accroissement du risque de leucémie. Telle est la conclusion d'une étude</w:t>
            </w:r>
            <w:r w:rsidR="00AF6597" w:rsidRPr="00C942A0">
              <w:rPr>
                <w:rFonts w:ascii="Arial Narrow" w:hAnsi="Arial Narrow"/>
                <w:vertAlign w:val="superscript"/>
                <w:lang w:val="fr-FR"/>
              </w:rPr>
              <w:t>1</w:t>
            </w:r>
            <w:r w:rsidRPr="00C942A0">
              <w:rPr>
                <w:rFonts w:ascii="Arial Narrow" w:hAnsi="Arial Narrow"/>
                <w:lang w:val="fr-FR"/>
              </w:rPr>
              <w:t xml:space="preserve"> menée par l'Université catholique de Louvain à la demande du SPF Santé publique. Ces résultats incitent le SPF à conseiller fortement aux parents de jeunes enfants et d’enfants à naître de limiter autant que possible toute exposition à ces produits. En tant que médecin, vous êtes le mieux placé pour discuter avec les parents des risques liés à l'utilisation des pesticides. C'est pourquoi nous vous donnons brièvement les informations utiles.</w:t>
            </w:r>
          </w:p>
        </w:tc>
        <w:tc>
          <w:tcPr>
            <w:tcW w:w="2500" w:type="pct"/>
          </w:tcPr>
          <w:p w:rsidR="00D90360" w:rsidRPr="00C942A0" w:rsidRDefault="00D90360" w:rsidP="00F84AEA">
            <w:pPr>
              <w:rPr>
                <w:rFonts w:ascii="Arial Narrow" w:hAnsi="Arial Narrow"/>
              </w:rPr>
            </w:pPr>
            <w:r w:rsidRPr="00C942A0">
              <w:rPr>
                <w:rFonts w:ascii="Arial Narrow" w:hAnsi="Arial Narrow"/>
              </w:rPr>
              <w:t>Kinderen die in utero of tijdens de eerste levensjaren overvloedig aan pesticiden (gewasbeschermingsmiddelen en biociden) worden blootgesteld, zouden een verhoogd risico kunnen lopen op kinderleukemie. Dit is de conclusie van een studie</w:t>
            </w:r>
            <w:r w:rsidRPr="00C942A0">
              <w:rPr>
                <w:rStyle w:val="Voetnootmarkering"/>
                <w:rFonts w:ascii="Arial Narrow" w:hAnsi="Arial Narrow"/>
              </w:rPr>
              <w:footnoteReference w:id="1"/>
            </w:r>
            <w:r w:rsidRPr="00C942A0">
              <w:rPr>
                <w:rFonts w:ascii="Arial Narrow" w:hAnsi="Arial Narrow"/>
              </w:rPr>
              <w:t xml:space="preserve"> van de </w:t>
            </w:r>
            <w:proofErr w:type="spellStart"/>
            <w:r w:rsidRPr="00C942A0">
              <w:rPr>
                <w:rFonts w:ascii="Arial Narrow" w:hAnsi="Arial Narrow"/>
              </w:rPr>
              <w:t>Université</w:t>
            </w:r>
            <w:proofErr w:type="spellEnd"/>
            <w:r w:rsidRPr="00C942A0">
              <w:rPr>
                <w:rFonts w:ascii="Arial Narrow" w:hAnsi="Arial Narrow"/>
              </w:rPr>
              <w:t xml:space="preserve"> </w:t>
            </w:r>
            <w:proofErr w:type="spellStart"/>
            <w:r w:rsidR="00F84AEA">
              <w:rPr>
                <w:rFonts w:ascii="Arial Narrow" w:hAnsi="Arial Narrow"/>
              </w:rPr>
              <w:t>c</w:t>
            </w:r>
            <w:r w:rsidRPr="00C942A0">
              <w:rPr>
                <w:rFonts w:ascii="Arial Narrow" w:hAnsi="Arial Narrow"/>
              </w:rPr>
              <w:t>atholique</w:t>
            </w:r>
            <w:proofErr w:type="spellEnd"/>
            <w:r w:rsidRPr="00C942A0">
              <w:rPr>
                <w:rFonts w:ascii="Arial Narrow" w:hAnsi="Arial Narrow"/>
              </w:rPr>
              <w:t xml:space="preserve"> de </w:t>
            </w:r>
            <w:proofErr w:type="spellStart"/>
            <w:r w:rsidRPr="00C942A0">
              <w:rPr>
                <w:rFonts w:ascii="Arial Narrow" w:hAnsi="Arial Narrow"/>
              </w:rPr>
              <w:t>Louvain</w:t>
            </w:r>
            <w:proofErr w:type="spellEnd"/>
            <w:r w:rsidRPr="00C942A0">
              <w:rPr>
                <w:rFonts w:ascii="Arial Narrow" w:hAnsi="Arial Narrow"/>
              </w:rPr>
              <w:t xml:space="preserve"> in opdracht van de FOD Volksgezondheid. Deze resultaten nopen de FOD er toe om ouders van jonge kinderen en toekomstige ouders sterk aan te raden om hun kinderen zo weinig mogelijk aan deze producten bloot te stellen. Als arts bent u het best geplaatst om de risico’s van het gebruik van pesticiden met ouders te bespreken. Daarom geven we u de nodige informatie in een notendop.</w:t>
            </w:r>
          </w:p>
        </w:tc>
      </w:tr>
      <w:tr w:rsidR="00D90360" w:rsidRPr="00E97663" w:rsidTr="00152C34">
        <w:trPr>
          <w:cantSplit/>
        </w:trPr>
        <w:tc>
          <w:tcPr>
            <w:tcW w:w="2500" w:type="pct"/>
          </w:tcPr>
          <w:p w:rsidR="00D90360" w:rsidRPr="00E97663" w:rsidRDefault="00D90360" w:rsidP="005F3937">
            <w:pPr>
              <w:jc w:val="both"/>
              <w:rPr>
                <w:rFonts w:ascii="Arial Narrow" w:hAnsi="Arial Narrow"/>
              </w:rPr>
            </w:pPr>
          </w:p>
        </w:tc>
        <w:tc>
          <w:tcPr>
            <w:tcW w:w="2500" w:type="pct"/>
          </w:tcPr>
          <w:p w:rsidR="00D90360" w:rsidRPr="00041935" w:rsidRDefault="00D90360" w:rsidP="00967278">
            <w:pPr>
              <w:rPr>
                <w:rFonts w:ascii="Arial Narrow" w:hAnsi="Arial Narrow"/>
                <w:highlight w:val="green"/>
              </w:rPr>
            </w:pPr>
          </w:p>
        </w:tc>
      </w:tr>
      <w:tr w:rsidR="00D90360" w:rsidRPr="00E97663" w:rsidTr="00152C34">
        <w:trPr>
          <w:cantSplit/>
        </w:trPr>
        <w:tc>
          <w:tcPr>
            <w:tcW w:w="2500" w:type="pct"/>
          </w:tcPr>
          <w:p w:rsidR="00D90360" w:rsidRPr="00C942A0" w:rsidRDefault="00D90360" w:rsidP="00E43753">
            <w:pPr>
              <w:jc w:val="both"/>
              <w:rPr>
                <w:rFonts w:ascii="Arial Narrow" w:hAnsi="Arial Narrow"/>
                <w:lang w:val="fr-FR"/>
              </w:rPr>
            </w:pPr>
            <w:r w:rsidRPr="00C942A0">
              <w:rPr>
                <w:rFonts w:ascii="Arial Narrow" w:hAnsi="Arial Narrow"/>
                <w:lang w:val="fr-FR"/>
              </w:rPr>
              <w:t xml:space="preserve">Le but de l'étude </w:t>
            </w:r>
            <w:hyperlink r:id="rId8" w:history="1">
              <w:r w:rsidRPr="00152C34">
                <w:rPr>
                  <w:rStyle w:val="Hyperlink"/>
                  <w:rFonts w:ascii="Arial Narrow" w:hAnsi="Arial Narrow"/>
                  <w:lang w:val="fr-FR"/>
                </w:rPr>
                <w:t>'</w:t>
              </w:r>
              <w:proofErr w:type="spellStart"/>
              <w:r w:rsidRPr="00152C34">
                <w:rPr>
                  <w:rStyle w:val="Hyperlink"/>
                  <w:rFonts w:ascii="Arial Narrow" w:hAnsi="Arial Narrow"/>
                  <w:i/>
                  <w:lang w:val="fr-FR"/>
                </w:rPr>
                <w:t>Residential</w:t>
              </w:r>
              <w:proofErr w:type="spellEnd"/>
              <w:r w:rsidRPr="00152C34">
                <w:rPr>
                  <w:rStyle w:val="Hyperlink"/>
                  <w:rFonts w:ascii="Arial Narrow" w:hAnsi="Arial Narrow"/>
                  <w:i/>
                  <w:lang w:val="fr-FR"/>
                </w:rPr>
                <w:t xml:space="preserve"> </w:t>
              </w:r>
              <w:proofErr w:type="spellStart"/>
              <w:r w:rsidRPr="00152C34">
                <w:rPr>
                  <w:rStyle w:val="Hyperlink"/>
                  <w:rFonts w:ascii="Arial Narrow" w:hAnsi="Arial Narrow"/>
                  <w:i/>
                  <w:lang w:val="fr-FR"/>
                </w:rPr>
                <w:t>exposure</w:t>
              </w:r>
              <w:proofErr w:type="spellEnd"/>
              <w:r w:rsidRPr="00152C34">
                <w:rPr>
                  <w:rStyle w:val="Hyperlink"/>
                  <w:rFonts w:ascii="Arial Narrow" w:hAnsi="Arial Narrow"/>
                  <w:i/>
                  <w:lang w:val="fr-FR"/>
                </w:rPr>
                <w:t xml:space="preserve"> to pesticides and </w:t>
              </w:r>
              <w:proofErr w:type="spellStart"/>
              <w:r w:rsidRPr="00152C34">
                <w:rPr>
                  <w:rStyle w:val="Hyperlink"/>
                  <w:rFonts w:ascii="Arial Narrow" w:hAnsi="Arial Narrow"/>
                  <w:i/>
                  <w:lang w:val="fr-FR"/>
                </w:rPr>
                <w:t>childhood</w:t>
              </w:r>
              <w:proofErr w:type="spellEnd"/>
              <w:r w:rsidRPr="00152C34">
                <w:rPr>
                  <w:rStyle w:val="Hyperlink"/>
                  <w:rFonts w:ascii="Arial Narrow" w:hAnsi="Arial Narrow"/>
                  <w:i/>
                  <w:lang w:val="fr-FR"/>
                </w:rPr>
                <w:t xml:space="preserve"> </w:t>
              </w:r>
              <w:proofErr w:type="spellStart"/>
              <w:r w:rsidRPr="00152C34">
                <w:rPr>
                  <w:rStyle w:val="Hyperlink"/>
                  <w:rFonts w:ascii="Arial Narrow" w:hAnsi="Arial Narrow"/>
                  <w:i/>
                  <w:lang w:val="fr-FR"/>
                </w:rPr>
                <w:t>leukaemia</w:t>
              </w:r>
              <w:proofErr w:type="spellEnd"/>
              <w:r w:rsidRPr="00152C34">
                <w:rPr>
                  <w:rStyle w:val="Hyperlink"/>
                  <w:rFonts w:ascii="Arial Narrow" w:hAnsi="Arial Narrow"/>
                  <w:i/>
                  <w:lang w:val="fr-FR"/>
                </w:rPr>
                <w:t xml:space="preserve">: A </w:t>
              </w:r>
              <w:proofErr w:type="spellStart"/>
              <w:r w:rsidRPr="00152C34">
                <w:rPr>
                  <w:rStyle w:val="Hyperlink"/>
                  <w:rFonts w:ascii="Arial Narrow" w:hAnsi="Arial Narrow"/>
                  <w:i/>
                  <w:lang w:val="fr-FR"/>
                </w:rPr>
                <w:t>systematic</w:t>
              </w:r>
              <w:proofErr w:type="spellEnd"/>
              <w:r w:rsidRPr="00152C34">
                <w:rPr>
                  <w:rStyle w:val="Hyperlink"/>
                  <w:rFonts w:ascii="Arial Narrow" w:hAnsi="Arial Narrow"/>
                  <w:i/>
                  <w:lang w:val="fr-FR"/>
                </w:rPr>
                <w:t xml:space="preserve"> </w:t>
              </w:r>
              <w:proofErr w:type="spellStart"/>
              <w:r w:rsidRPr="00152C34">
                <w:rPr>
                  <w:rStyle w:val="Hyperlink"/>
                  <w:rFonts w:ascii="Arial Narrow" w:hAnsi="Arial Narrow"/>
                  <w:i/>
                  <w:lang w:val="fr-FR"/>
                </w:rPr>
                <w:t>review</w:t>
              </w:r>
              <w:proofErr w:type="spellEnd"/>
              <w:r w:rsidRPr="00152C34">
                <w:rPr>
                  <w:rStyle w:val="Hyperlink"/>
                  <w:rFonts w:ascii="Arial Narrow" w:hAnsi="Arial Narrow"/>
                  <w:i/>
                  <w:lang w:val="fr-FR"/>
                </w:rPr>
                <w:t xml:space="preserve"> and </w:t>
              </w:r>
              <w:proofErr w:type="spellStart"/>
              <w:r w:rsidRPr="00152C34">
                <w:rPr>
                  <w:rStyle w:val="Hyperlink"/>
                  <w:rFonts w:ascii="Arial Narrow" w:hAnsi="Arial Narrow"/>
                  <w:i/>
                  <w:lang w:val="fr-FR"/>
                </w:rPr>
                <w:t>meta-analysis</w:t>
              </w:r>
              <w:proofErr w:type="spellEnd"/>
              <w:r w:rsidRPr="00152C34">
                <w:rPr>
                  <w:rStyle w:val="Hyperlink"/>
                  <w:rFonts w:ascii="Arial Narrow" w:hAnsi="Arial Narrow"/>
                  <w:lang w:val="fr-FR"/>
                </w:rPr>
                <w:t>'</w:t>
              </w:r>
            </w:hyperlink>
            <w:r w:rsidRPr="00C942A0">
              <w:rPr>
                <w:rFonts w:ascii="Arial Narrow" w:hAnsi="Arial Narrow"/>
                <w:lang w:val="fr-FR"/>
              </w:rPr>
              <w:t xml:space="preserve"> était de comparer entre elles des données provenant d’études publiées et émanant de plusieurs pays sur l'exposition domestique aux pesticides et </w:t>
            </w:r>
            <w:r w:rsidR="00E43753" w:rsidRPr="00C942A0">
              <w:rPr>
                <w:rFonts w:ascii="Arial Narrow" w:hAnsi="Arial Narrow"/>
                <w:lang w:val="fr-FR"/>
              </w:rPr>
              <w:t>l’apparition</w:t>
            </w:r>
            <w:r w:rsidRPr="00C942A0">
              <w:rPr>
                <w:rFonts w:ascii="Arial Narrow" w:hAnsi="Arial Narrow"/>
                <w:lang w:val="fr-FR"/>
              </w:rPr>
              <w:t xml:space="preserve"> de la leucémie chez l'enfant, et d'obtenir ainsi une estimation du risque.</w:t>
            </w:r>
          </w:p>
        </w:tc>
        <w:tc>
          <w:tcPr>
            <w:tcW w:w="2500" w:type="pct"/>
          </w:tcPr>
          <w:p w:rsidR="00D90360" w:rsidRPr="00C942A0" w:rsidRDefault="00D90360" w:rsidP="00967278">
            <w:pPr>
              <w:rPr>
                <w:rFonts w:ascii="Arial Narrow" w:hAnsi="Arial Narrow"/>
              </w:rPr>
            </w:pPr>
            <w:r w:rsidRPr="00C942A0">
              <w:rPr>
                <w:rFonts w:ascii="Arial Narrow" w:hAnsi="Arial Narrow"/>
              </w:rPr>
              <w:t xml:space="preserve">Het doel van de studie </w:t>
            </w:r>
            <w:r w:rsidRPr="00C942A0">
              <w:rPr>
                <w:rFonts w:ascii="Arial Narrow" w:hAnsi="Arial Narrow"/>
                <w:i/>
              </w:rPr>
              <w:t>‘</w:t>
            </w:r>
            <w:proofErr w:type="spellStart"/>
            <w:r w:rsidR="00152C34">
              <w:rPr>
                <w:rFonts w:ascii="Arial Narrow" w:hAnsi="Arial Narrow"/>
                <w:i/>
              </w:rPr>
              <w:fldChar w:fldCharType="begin"/>
            </w:r>
            <w:r w:rsidR="00152C34">
              <w:rPr>
                <w:rFonts w:ascii="Arial Narrow" w:hAnsi="Arial Narrow"/>
                <w:i/>
              </w:rPr>
              <w:instrText xml:space="preserve"> HYPERLINK "http://www.health.belgium.be/internet2Prd/groups/public/@public/@prpb/documents/ie2form/19079998.pdf" </w:instrText>
            </w:r>
            <w:r w:rsidR="00152C34">
              <w:rPr>
                <w:rFonts w:ascii="Arial Narrow" w:hAnsi="Arial Narrow"/>
                <w:i/>
              </w:rPr>
            </w:r>
            <w:r w:rsidR="00152C34">
              <w:rPr>
                <w:rFonts w:ascii="Arial Narrow" w:hAnsi="Arial Narrow"/>
                <w:i/>
              </w:rPr>
              <w:fldChar w:fldCharType="separate"/>
            </w:r>
            <w:r w:rsidRPr="00152C34">
              <w:rPr>
                <w:rStyle w:val="Hyperlink"/>
                <w:rFonts w:ascii="Arial Narrow" w:hAnsi="Arial Narrow"/>
                <w:i/>
              </w:rPr>
              <w:t>Residential</w:t>
            </w:r>
            <w:proofErr w:type="spellEnd"/>
            <w:r w:rsidRPr="00152C34">
              <w:rPr>
                <w:rStyle w:val="Hyperlink"/>
                <w:rFonts w:ascii="Arial Narrow" w:hAnsi="Arial Narrow"/>
                <w:i/>
              </w:rPr>
              <w:t xml:space="preserve"> exposure </w:t>
            </w:r>
            <w:proofErr w:type="spellStart"/>
            <w:r w:rsidRPr="00152C34">
              <w:rPr>
                <w:rStyle w:val="Hyperlink"/>
                <w:rFonts w:ascii="Arial Narrow" w:hAnsi="Arial Narrow"/>
                <w:i/>
              </w:rPr>
              <w:t>to</w:t>
            </w:r>
            <w:proofErr w:type="spellEnd"/>
            <w:r w:rsidRPr="00152C34">
              <w:rPr>
                <w:rStyle w:val="Hyperlink"/>
                <w:rFonts w:ascii="Arial Narrow" w:hAnsi="Arial Narrow"/>
                <w:i/>
              </w:rPr>
              <w:t xml:space="preserve"> pesticides </w:t>
            </w:r>
            <w:proofErr w:type="spellStart"/>
            <w:r w:rsidRPr="00152C34">
              <w:rPr>
                <w:rStyle w:val="Hyperlink"/>
                <w:rFonts w:ascii="Arial Narrow" w:hAnsi="Arial Narrow"/>
                <w:i/>
              </w:rPr>
              <w:t>and</w:t>
            </w:r>
            <w:proofErr w:type="spellEnd"/>
            <w:r w:rsidRPr="00152C34">
              <w:rPr>
                <w:rStyle w:val="Hyperlink"/>
                <w:rFonts w:ascii="Arial Narrow" w:hAnsi="Arial Narrow"/>
                <w:i/>
              </w:rPr>
              <w:t xml:space="preserve"> </w:t>
            </w:r>
            <w:proofErr w:type="spellStart"/>
            <w:r w:rsidRPr="00152C34">
              <w:rPr>
                <w:rStyle w:val="Hyperlink"/>
                <w:rFonts w:ascii="Arial Narrow" w:hAnsi="Arial Narrow"/>
                <w:i/>
              </w:rPr>
              <w:t>childhoodleukaemia</w:t>
            </w:r>
            <w:proofErr w:type="spellEnd"/>
            <w:r w:rsidRPr="00152C34">
              <w:rPr>
                <w:rStyle w:val="Hyperlink"/>
                <w:rFonts w:ascii="Arial Narrow" w:hAnsi="Arial Narrow"/>
                <w:i/>
              </w:rPr>
              <w:t xml:space="preserve">: A </w:t>
            </w:r>
            <w:proofErr w:type="spellStart"/>
            <w:r w:rsidRPr="00152C34">
              <w:rPr>
                <w:rStyle w:val="Hyperlink"/>
                <w:rFonts w:ascii="Arial Narrow" w:hAnsi="Arial Narrow"/>
                <w:i/>
              </w:rPr>
              <w:t>systematic</w:t>
            </w:r>
            <w:proofErr w:type="spellEnd"/>
            <w:r w:rsidRPr="00152C34">
              <w:rPr>
                <w:rStyle w:val="Hyperlink"/>
                <w:rFonts w:ascii="Arial Narrow" w:hAnsi="Arial Narrow"/>
                <w:i/>
              </w:rPr>
              <w:t xml:space="preserve"> review </w:t>
            </w:r>
            <w:proofErr w:type="spellStart"/>
            <w:r w:rsidRPr="00152C34">
              <w:rPr>
                <w:rStyle w:val="Hyperlink"/>
                <w:rFonts w:ascii="Arial Narrow" w:hAnsi="Arial Narrow"/>
                <w:i/>
              </w:rPr>
              <w:t>and</w:t>
            </w:r>
            <w:proofErr w:type="spellEnd"/>
            <w:r w:rsidRPr="00152C34">
              <w:rPr>
                <w:rStyle w:val="Hyperlink"/>
                <w:rFonts w:ascii="Arial Narrow" w:hAnsi="Arial Narrow"/>
                <w:i/>
              </w:rPr>
              <w:t xml:space="preserve"> meta-analysis’</w:t>
            </w:r>
            <w:r w:rsidR="00152C34">
              <w:rPr>
                <w:rFonts w:ascii="Arial Narrow" w:hAnsi="Arial Narrow"/>
                <w:i/>
              </w:rPr>
              <w:fldChar w:fldCharType="end"/>
            </w:r>
            <w:r w:rsidRPr="00C942A0">
              <w:rPr>
                <w:rFonts w:ascii="Arial Narrow" w:hAnsi="Arial Narrow"/>
              </w:rPr>
              <w:t xml:space="preserve"> was om de data uit gepubliceerde studies uit verschillende landen over huishoudelijke blootstelling aan pesticiden en het voorkomen van leukemie bij kinderen met elkaar te vergelijken en zo tot een inschatting van het risico te komen.</w:t>
            </w:r>
          </w:p>
        </w:tc>
      </w:tr>
      <w:tr w:rsidR="00D90360" w:rsidRPr="00E97663" w:rsidTr="00152C34">
        <w:trPr>
          <w:cantSplit/>
        </w:trPr>
        <w:tc>
          <w:tcPr>
            <w:tcW w:w="2500" w:type="pct"/>
          </w:tcPr>
          <w:p w:rsidR="00D90360" w:rsidRPr="00E97663" w:rsidRDefault="00D90360" w:rsidP="005F3937">
            <w:pPr>
              <w:jc w:val="both"/>
              <w:rPr>
                <w:rFonts w:ascii="Arial Narrow" w:hAnsi="Arial Narrow"/>
              </w:rPr>
            </w:pPr>
          </w:p>
        </w:tc>
        <w:tc>
          <w:tcPr>
            <w:tcW w:w="2500" w:type="pct"/>
          </w:tcPr>
          <w:p w:rsidR="00D90360" w:rsidRPr="00041935" w:rsidRDefault="00D90360" w:rsidP="00967278">
            <w:pPr>
              <w:rPr>
                <w:rFonts w:ascii="Arial Narrow" w:hAnsi="Arial Narrow"/>
                <w:highlight w:val="green"/>
              </w:rPr>
            </w:pPr>
          </w:p>
        </w:tc>
      </w:tr>
      <w:tr w:rsidR="00D90360" w:rsidRPr="00E97663" w:rsidTr="00152C34">
        <w:trPr>
          <w:cantSplit/>
        </w:trPr>
        <w:tc>
          <w:tcPr>
            <w:tcW w:w="2500" w:type="pct"/>
          </w:tcPr>
          <w:p w:rsidR="00D90360" w:rsidRPr="00641F6A" w:rsidRDefault="00D90360" w:rsidP="00BB07BB">
            <w:pPr>
              <w:jc w:val="both"/>
              <w:rPr>
                <w:rFonts w:ascii="Arial Narrow" w:hAnsi="Arial Narrow"/>
                <w:lang w:val="fr-FR"/>
              </w:rPr>
            </w:pPr>
            <w:r w:rsidRPr="00641F6A">
              <w:rPr>
                <w:rFonts w:ascii="Arial Narrow" w:hAnsi="Arial Narrow"/>
                <w:lang w:val="fr-FR"/>
              </w:rPr>
              <w:t xml:space="preserve">Les résultats montrent qu'un lien statistiquement significatif existe entre l'exposition domestique aux pesticides et la leucémie infantile. </w:t>
            </w:r>
            <w:r w:rsidR="00583F19">
              <w:rPr>
                <w:rFonts w:ascii="Arial Narrow" w:hAnsi="Arial Narrow"/>
                <w:lang w:val="fr-FR"/>
              </w:rPr>
              <w:t xml:space="preserve">Cependant, ce lien n’a pas été démontré comme étant causal. </w:t>
            </w:r>
            <w:r w:rsidRPr="00641F6A">
              <w:rPr>
                <w:rFonts w:ascii="Arial Narrow" w:hAnsi="Arial Narrow"/>
                <w:lang w:val="fr-FR"/>
              </w:rPr>
              <w:t>Ceci vaut tant pour l'exposition pendant la grossesse que pendant les premières années de la vie.</w:t>
            </w:r>
          </w:p>
        </w:tc>
        <w:tc>
          <w:tcPr>
            <w:tcW w:w="2500" w:type="pct"/>
          </w:tcPr>
          <w:p w:rsidR="00D90360" w:rsidRPr="00641F6A" w:rsidRDefault="00D90360" w:rsidP="00967278">
            <w:pPr>
              <w:rPr>
                <w:rFonts w:ascii="Arial Narrow" w:hAnsi="Arial Narrow"/>
              </w:rPr>
            </w:pPr>
            <w:r w:rsidRPr="00641F6A">
              <w:rPr>
                <w:rFonts w:ascii="Arial Narrow" w:hAnsi="Arial Narrow"/>
              </w:rPr>
              <w:t xml:space="preserve">Uit de resultaten blijkt dat er een statistisch significant verband is tussen huishoudelijke blootstelling aan pesticiden en kinderleukemie. </w:t>
            </w:r>
            <w:r w:rsidR="00583F19">
              <w:rPr>
                <w:rFonts w:ascii="Arial Narrow" w:hAnsi="Arial Narrow"/>
              </w:rPr>
              <w:t xml:space="preserve">Er werd echter niet aangetoond dat het om een causaal verband gaat. </w:t>
            </w:r>
            <w:r w:rsidRPr="00641F6A">
              <w:rPr>
                <w:rFonts w:ascii="Arial Narrow" w:hAnsi="Arial Narrow"/>
              </w:rPr>
              <w:t>Dit geldt zowel voor blootstelling tijdens de zwangerschap als tijdens de eerste levensjaren.</w:t>
            </w:r>
          </w:p>
        </w:tc>
      </w:tr>
      <w:tr w:rsidR="00D90360" w:rsidRPr="00E97663" w:rsidTr="00152C34">
        <w:trPr>
          <w:cantSplit/>
        </w:trPr>
        <w:tc>
          <w:tcPr>
            <w:tcW w:w="2500" w:type="pct"/>
          </w:tcPr>
          <w:p w:rsidR="00D90360" w:rsidRPr="00E97663" w:rsidRDefault="00D90360" w:rsidP="005F3937">
            <w:pPr>
              <w:jc w:val="both"/>
              <w:rPr>
                <w:rFonts w:ascii="Arial Narrow" w:hAnsi="Arial Narrow"/>
              </w:rPr>
            </w:pPr>
          </w:p>
        </w:tc>
        <w:tc>
          <w:tcPr>
            <w:tcW w:w="2500" w:type="pct"/>
          </w:tcPr>
          <w:p w:rsidR="00D90360" w:rsidRPr="00041935" w:rsidRDefault="00D90360" w:rsidP="00967278">
            <w:pPr>
              <w:rPr>
                <w:rFonts w:ascii="Arial Narrow" w:hAnsi="Arial Narrow"/>
                <w:highlight w:val="green"/>
              </w:rPr>
            </w:pPr>
          </w:p>
        </w:tc>
      </w:tr>
      <w:tr w:rsidR="00D90360" w:rsidRPr="00E97663" w:rsidTr="00152C34">
        <w:trPr>
          <w:cantSplit/>
        </w:trPr>
        <w:tc>
          <w:tcPr>
            <w:tcW w:w="2500" w:type="pct"/>
          </w:tcPr>
          <w:p w:rsidR="00D90360" w:rsidRPr="00641F6A" w:rsidRDefault="00D90360" w:rsidP="0010179D">
            <w:pPr>
              <w:jc w:val="both"/>
              <w:rPr>
                <w:rFonts w:ascii="Arial Narrow" w:hAnsi="Arial Narrow"/>
                <w:lang w:val="fr-FR"/>
              </w:rPr>
            </w:pPr>
            <w:r w:rsidRPr="00641F6A">
              <w:rPr>
                <w:rFonts w:ascii="Arial Narrow" w:hAnsi="Arial Narrow"/>
                <w:lang w:val="fr-FR"/>
              </w:rPr>
              <w:t xml:space="preserve">Le SPF se base sur ces résultats et sur le principe de précaution pour conseiller fortement aux parents de jeunes enfants et d’enfants à naître de limiter autant que possible toute exposition de leurs enfants à ces produits. </w:t>
            </w:r>
            <w:r w:rsidR="0010179D" w:rsidRPr="00641F6A">
              <w:rPr>
                <w:rFonts w:ascii="Arial Narrow" w:hAnsi="Arial Narrow"/>
                <w:lang w:val="fr-FR"/>
              </w:rPr>
              <w:t>Dès lors, i</w:t>
            </w:r>
            <w:r w:rsidRPr="00641F6A">
              <w:rPr>
                <w:rFonts w:ascii="Arial Narrow" w:hAnsi="Arial Narrow"/>
                <w:lang w:val="fr-FR"/>
              </w:rPr>
              <w:t xml:space="preserve">l est préférable de prendre des mesures préventives comme p.ex. : </w:t>
            </w:r>
          </w:p>
        </w:tc>
        <w:tc>
          <w:tcPr>
            <w:tcW w:w="2500" w:type="pct"/>
          </w:tcPr>
          <w:p w:rsidR="00D90360" w:rsidRPr="00641F6A" w:rsidRDefault="00D90360" w:rsidP="00967278">
            <w:pPr>
              <w:rPr>
                <w:rFonts w:ascii="Arial Narrow" w:hAnsi="Arial Narrow"/>
              </w:rPr>
            </w:pPr>
            <w:r w:rsidRPr="00641F6A">
              <w:rPr>
                <w:rFonts w:ascii="Arial Narrow" w:hAnsi="Arial Narrow"/>
              </w:rPr>
              <w:t>De FOD Volksgezondheid baseert zich op deze resultaten en op het voorzorgsprincipe om ouders van jonge kinderen en toekomstige ouders sterk aan te raden om hun kinderen zo weinig mogelijk aan deze producten bloot te stellen. Het is beter om consequent preventieve maatregelen te nemen, zoals:</w:t>
            </w:r>
          </w:p>
        </w:tc>
      </w:tr>
      <w:tr w:rsidR="00D90360" w:rsidRPr="00E97663" w:rsidTr="00152C34">
        <w:trPr>
          <w:cantSplit/>
        </w:trPr>
        <w:tc>
          <w:tcPr>
            <w:tcW w:w="2500" w:type="pct"/>
          </w:tcPr>
          <w:p w:rsidR="00D90360" w:rsidRPr="00E97663" w:rsidRDefault="00D90360" w:rsidP="005F3937">
            <w:pPr>
              <w:jc w:val="both"/>
              <w:rPr>
                <w:rFonts w:ascii="Arial Narrow" w:hAnsi="Arial Narrow"/>
              </w:rPr>
            </w:pPr>
          </w:p>
        </w:tc>
        <w:tc>
          <w:tcPr>
            <w:tcW w:w="2500" w:type="pct"/>
          </w:tcPr>
          <w:p w:rsidR="00D90360" w:rsidRPr="00041935" w:rsidRDefault="00D90360" w:rsidP="00967278">
            <w:pPr>
              <w:rPr>
                <w:rFonts w:ascii="Arial Narrow" w:hAnsi="Arial Narrow"/>
                <w:highlight w:val="green"/>
              </w:rPr>
            </w:pPr>
          </w:p>
        </w:tc>
      </w:tr>
      <w:tr w:rsidR="00D90360" w:rsidRPr="00641F6A" w:rsidTr="00152C34">
        <w:trPr>
          <w:cantSplit/>
        </w:trPr>
        <w:tc>
          <w:tcPr>
            <w:tcW w:w="2500" w:type="pct"/>
          </w:tcPr>
          <w:p w:rsidR="00D90360" w:rsidRPr="00641F6A" w:rsidRDefault="00D90360" w:rsidP="005F3937">
            <w:pPr>
              <w:numPr>
                <w:ilvl w:val="0"/>
                <w:numId w:val="2"/>
              </w:numPr>
              <w:jc w:val="both"/>
              <w:rPr>
                <w:rFonts w:ascii="Arial Narrow" w:hAnsi="Arial Narrow"/>
                <w:lang w:val="fr-FR"/>
              </w:rPr>
            </w:pPr>
            <w:r w:rsidRPr="00641F6A">
              <w:rPr>
                <w:rFonts w:ascii="Arial Narrow" w:hAnsi="Arial Narrow"/>
                <w:lang w:val="fr-FR"/>
              </w:rPr>
              <w:t>Utiliser une moustiquaire plutôt qu'un aérosol</w:t>
            </w:r>
          </w:p>
        </w:tc>
        <w:tc>
          <w:tcPr>
            <w:tcW w:w="2500" w:type="pct"/>
          </w:tcPr>
          <w:p w:rsidR="00D90360" w:rsidRPr="00641F6A" w:rsidRDefault="00D90360" w:rsidP="00967278">
            <w:pPr>
              <w:numPr>
                <w:ilvl w:val="0"/>
                <w:numId w:val="3"/>
              </w:numPr>
              <w:rPr>
                <w:rFonts w:ascii="Arial Narrow" w:hAnsi="Arial Narrow"/>
              </w:rPr>
            </w:pPr>
            <w:r w:rsidRPr="00641F6A">
              <w:rPr>
                <w:rFonts w:ascii="Arial Narrow" w:hAnsi="Arial Narrow"/>
              </w:rPr>
              <w:t xml:space="preserve">Een </w:t>
            </w:r>
            <w:proofErr w:type="spellStart"/>
            <w:r w:rsidRPr="00641F6A">
              <w:rPr>
                <w:rFonts w:ascii="Arial Narrow" w:hAnsi="Arial Narrow"/>
              </w:rPr>
              <w:t>muggenhor</w:t>
            </w:r>
            <w:proofErr w:type="spellEnd"/>
            <w:r w:rsidRPr="00641F6A">
              <w:rPr>
                <w:rFonts w:ascii="Arial Narrow" w:hAnsi="Arial Narrow"/>
              </w:rPr>
              <w:t xml:space="preserve"> in plaats van een muggenspray gebruiken</w:t>
            </w:r>
          </w:p>
        </w:tc>
      </w:tr>
      <w:tr w:rsidR="00D90360" w:rsidRPr="00E97663" w:rsidTr="00152C34">
        <w:trPr>
          <w:cantSplit/>
        </w:trPr>
        <w:tc>
          <w:tcPr>
            <w:tcW w:w="2500" w:type="pct"/>
          </w:tcPr>
          <w:p w:rsidR="00D90360" w:rsidRPr="00641F6A" w:rsidRDefault="00D90360" w:rsidP="005F3937">
            <w:pPr>
              <w:numPr>
                <w:ilvl w:val="0"/>
                <w:numId w:val="2"/>
              </w:numPr>
              <w:jc w:val="both"/>
              <w:rPr>
                <w:rFonts w:ascii="Arial Narrow" w:hAnsi="Arial Narrow"/>
                <w:lang w:val="fr-FR"/>
              </w:rPr>
            </w:pPr>
            <w:r w:rsidRPr="00641F6A">
              <w:rPr>
                <w:rFonts w:ascii="Arial Narrow" w:hAnsi="Arial Narrow"/>
                <w:lang w:val="fr-FR"/>
              </w:rPr>
              <w:lastRenderedPageBreak/>
              <w:t xml:space="preserve">Nettoyer régulièrement la maison pour éviter les insectes nuisibles </w:t>
            </w:r>
          </w:p>
        </w:tc>
        <w:tc>
          <w:tcPr>
            <w:tcW w:w="2500" w:type="pct"/>
          </w:tcPr>
          <w:p w:rsidR="00D90360" w:rsidRPr="00641F6A" w:rsidRDefault="00D90360" w:rsidP="00967278">
            <w:pPr>
              <w:numPr>
                <w:ilvl w:val="0"/>
                <w:numId w:val="3"/>
              </w:numPr>
              <w:rPr>
                <w:rFonts w:ascii="Arial Narrow" w:hAnsi="Arial Narrow"/>
              </w:rPr>
            </w:pPr>
            <w:r w:rsidRPr="00641F6A">
              <w:rPr>
                <w:rFonts w:ascii="Arial Narrow" w:hAnsi="Arial Narrow"/>
              </w:rPr>
              <w:t xml:space="preserve">Regelmatig het huis poetsen om ongewenste insecten te vermijden </w:t>
            </w:r>
          </w:p>
        </w:tc>
      </w:tr>
      <w:tr w:rsidR="00D90360" w:rsidRPr="00641F6A" w:rsidTr="00152C34">
        <w:trPr>
          <w:cantSplit/>
        </w:trPr>
        <w:tc>
          <w:tcPr>
            <w:tcW w:w="2500" w:type="pct"/>
          </w:tcPr>
          <w:p w:rsidR="00D90360" w:rsidRPr="00641F6A" w:rsidRDefault="00D90360" w:rsidP="00876ADC">
            <w:pPr>
              <w:numPr>
                <w:ilvl w:val="0"/>
                <w:numId w:val="2"/>
              </w:numPr>
              <w:jc w:val="both"/>
              <w:rPr>
                <w:rFonts w:ascii="Arial Narrow" w:hAnsi="Arial Narrow"/>
                <w:lang w:val="fr-FR"/>
              </w:rPr>
            </w:pPr>
            <w:r w:rsidRPr="00641F6A">
              <w:rPr>
                <w:rFonts w:ascii="Arial Narrow" w:hAnsi="Arial Narrow"/>
                <w:lang w:val="fr-FR"/>
              </w:rPr>
              <w:t>Obturer interstices et fentes pour maintenir les fourmis en dehors de la maison</w:t>
            </w:r>
          </w:p>
        </w:tc>
        <w:tc>
          <w:tcPr>
            <w:tcW w:w="2500" w:type="pct"/>
          </w:tcPr>
          <w:p w:rsidR="00D90360" w:rsidRPr="00641F6A" w:rsidRDefault="00D90360" w:rsidP="00967278">
            <w:pPr>
              <w:numPr>
                <w:ilvl w:val="0"/>
                <w:numId w:val="3"/>
              </w:numPr>
              <w:rPr>
                <w:rFonts w:ascii="Arial Narrow" w:hAnsi="Arial Narrow"/>
              </w:rPr>
            </w:pPr>
            <w:r w:rsidRPr="00641F6A">
              <w:rPr>
                <w:rFonts w:ascii="Arial Narrow" w:hAnsi="Arial Narrow"/>
              </w:rPr>
              <w:t xml:space="preserve">Kieren en spleten dichten om de mieren buiten te houden </w:t>
            </w:r>
          </w:p>
        </w:tc>
      </w:tr>
      <w:tr w:rsidR="00D90360" w:rsidRPr="00641F6A" w:rsidTr="00152C34">
        <w:trPr>
          <w:cantSplit/>
        </w:trPr>
        <w:tc>
          <w:tcPr>
            <w:tcW w:w="2500" w:type="pct"/>
          </w:tcPr>
          <w:p w:rsidR="00D90360" w:rsidRPr="00641F6A" w:rsidRDefault="00D90360" w:rsidP="005F3937">
            <w:pPr>
              <w:numPr>
                <w:ilvl w:val="0"/>
                <w:numId w:val="2"/>
              </w:numPr>
              <w:jc w:val="both"/>
              <w:rPr>
                <w:rFonts w:ascii="Arial Narrow" w:hAnsi="Arial Narrow"/>
                <w:lang w:val="fr-FR"/>
              </w:rPr>
            </w:pPr>
            <w:r w:rsidRPr="00641F6A">
              <w:rPr>
                <w:rFonts w:ascii="Arial Narrow" w:hAnsi="Arial Narrow"/>
                <w:lang w:val="fr-FR"/>
              </w:rPr>
              <w:t xml:space="preserve">Placer des pièges à insectes </w:t>
            </w:r>
          </w:p>
        </w:tc>
        <w:tc>
          <w:tcPr>
            <w:tcW w:w="2500" w:type="pct"/>
          </w:tcPr>
          <w:p w:rsidR="00D90360" w:rsidRPr="00641F6A" w:rsidRDefault="00D90360" w:rsidP="00967278">
            <w:pPr>
              <w:numPr>
                <w:ilvl w:val="0"/>
                <w:numId w:val="3"/>
              </w:numPr>
              <w:rPr>
                <w:rFonts w:ascii="Arial Narrow" w:hAnsi="Arial Narrow"/>
              </w:rPr>
            </w:pPr>
            <w:r w:rsidRPr="00641F6A">
              <w:rPr>
                <w:rFonts w:ascii="Arial Narrow" w:hAnsi="Arial Narrow"/>
              </w:rPr>
              <w:t>Insectenvallen plaatsen</w:t>
            </w:r>
          </w:p>
        </w:tc>
      </w:tr>
      <w:tr w:rsidR="00D90360" w:rsidRPr="00E97663" w:rsidTr="00152C34">
        <w:trPr>
          <w:cantSplit/>
        </w:trPr>
        <w:tc>
          <w:tcPr>
            <w:tcW w:w="2500" w:type="pct"/>
          </w:tcPr>
          <w:p w:rsidR="00D90360" w:rsidRPr="00641F6A" w:rsidRDefault="00D90360" w:rsidP="005F3937">
            <w:pPr>
              <w:numPr>
                <w:ilvl w:val="0"/>
                <w:numId w:val="2"/>
              </w:numPr>
              <w:jc w:val="both"/>
              <w:rPr>
                <w:rFonts w:ascii="Arial Narrow" w:hAnsi="Arial Narrow"/>
                <w:lang w:val="fr-FR"/>
              </w:rPr>
            </w:pPr>
            <w:r w:rsidRPr="00641F6A">
              <w:rPr>
                <w:rFonts w:ascii="Arial Narrow" w:hAnsi="Arial Narrow"/>
                <w:lang w:val="fr-FR"/>
              </w:rPr>
              <w:t xml:space="preserve">Pour les professionnels surtout, les vêtements utilisés pour les traitements avec des pesticides sont stockés et lavés séparément des vêtements familiaux. </w:t>
            </w:r>
          </w:p>
        </w:tc>
        <w:tc>
          <w:tcPr>
            <w:tcW w:w="2500" w:type="pct"/>
          </w:tcPr>
          <w:p w:rsidR="00D90360" w:rsidRPr="00641F6A" w:rsidRDefault="00D90360" w:rsidP="00967278">
            <w:pPr>
              <w:numPr>
                <w:ilvl w:val="0"/>
                <w:numId w:val="3"/>
              </w:numPr>
              <w:rPr>
                <w:rFonts w:ascii="Arial Narrow" w:hAnsi="Arial Narrow"/>
              </w:rPr>
            </w:pPr>
            <w:r w:rsidRPr="00641F6A">
              <w:rPr>
                <w:rFonts w:ascii="Arial Narrow" w:hAnsi="Arial Narrow"/>
              </w:rPr>
              <w:t xml:space="preserve">Kleren die men draagt om met pesticiden te werken afzonderlijk van gewone kledij wassen en bewaren (dit geldt zeker voor professionele gebruikers) </w:t>
            </w:r>
          </w:p>
        </w:tc>
      </w:tr>
      <w:tr w:rsidR="00D90360" w:rsidRPr="00E97663" w:rsidTr="00152C34">
        <w:trPr>
          <w:cantSplit/>
        </w:trPr>
        <w:tc>
          <w:tcPr>
            <w:tcW w:w="2500" w:type="pct"/>
          </w:tcPr>
          <w:p w:rsidR="00D90360" w:rsidRPr="002E5ABD" w:rsidRDefault="00D90360" w:rsidP="005F3937">
            <w:pPr>
              <w:jc w:val="both"/>
              <w:rPr>
                <w:rFonts w:ascii="Arial Narrow" w:hAnsi="Arial Narrow"/>
                <w:highlight w:val="cyan"/>
              </w:rPr>
            </w:pPr>
          </w:p>
        </w:tc>
        <w:tc>
          <w:tcPr>
            <w:tcW w:w="2500" w:type="pct"/>
          </w:tcPr>
          <w:p w:rsidR="00D90360" w:rsidRPr="00041935" w:rsidRDefault="00D90360" w:rsidP="00967278">
            <w:pPr>
              <w:rPr>
                <w:rFonts w:ascii="Arial Narrow" w:hAnsi="Arial Narrow"/>
                <w:highlight w:val="green"/>
              </w:rPr>
            </w:pPr>
          </w:p>
        </w:tc>
      </w:tr>
      <w:tr w:rsidR="00641F6A" w:rsidRPr="00E97663" w:rsidTr="00152C34">
        <w:trPr>
          <w:cantSplit/>
        </w:trPr>
        <w:tc>
          <w:tcPr>
            <w:tcW w:w="2500" w:type="pct"/>
          </w:tcPr>
          <w:p w:rsidR="00641F6A" w:rsidRPr="00B207E8" w:rsidRDefault="00641F6A" w:rsidP="008F5B79">
            <w:pPr>
              <w:jc w:val="both"/>
              <w:rPr>
                <w:rFonts w:ascii="Arial Narrow" w:hAnsi="Arial Narrow"/>
                <w:lang w:val="fr-FR"/>
              </w:rPr>
            </w:pPr>
            <w:r w:rsidRPr="00B207E8">
              <w:rPr>
                <w:rFonts w:ascii="Arial Narrow" w:hAnsi="Arial Narrow"/>
                <w:lang w:val="fr-FR"/>
              </w:rPr>
              <w:t>Si l'on veut néanmoins utiliser un pesticide, il faut lire attentivement l'étiquette et suivre les mesures de précaution qui sont prévues pour réduire les risques.</w:t>
            </w:r>
          </w:p>
        </w:tc>
        <w:tc>
          <w:tcPr>
            <w:tcW w:w="2500" w:type="pct"/>
          </w:tcPr>
          <w:p w:rsidR="00641F6A" w:rsidRPr="00B207E8" w:rsidRDefault="00641F6A" w:rsidP="008F5B79">
            <w:pPr>
              <w:rPr>
                <w:rFonts w:ascii="Arial Narrow" w:hAnsi="Arial Narrow"/>
              </w:rPr>
            </w:pPr>
            <w:r w:rsidRPr="00B207E8">
              <w:rPr>
                <w:rFonts w:ascii="Arial Narrow" w:hAnsi="Arial Narrow"/>
              </w:rPr>
              <w:t>Wie toch pesticiden wil gebruiken, moet zorgvuldig het etiket lezen en de voorzorgsmaatregelen opvolgen die bedoeld zijn om de risico’s te beperken.</w:t>
            </w:r>
          </w:p>
        </w:tc>
      </w:tr>
      <w:tr w:rsidR="00B207E8" w:rsidRPr="00E97663" w:rsidTr="00152C34">
        <w:trPr>
          <w:cantSplit/>
        </w:trPr>
        <w:tc>
          <w:tcPr>
            <w:tcW w:w="2500" w:type="pct"/>
          </w:tcPr>
          <w:p w:rsidR="00B207E8" w:rsidRPr="00E97663" w:rsidRDefault="00B207E8" w:rsidP="00FE6802">
            <w:pPr>
              <w:jc w:val="both"/>
              <w:rPr>
                <w:rFonts w:ascii="Arial Narrow" w:hAnsi="Arial Narrow"/>
              </w:rPr>
            </w:pPr>
          </w:p>
        </w:tc>
        <w:tc>
          <w:tcPr>
            <w:tcW w:w="2500" w:type="pct"/>
          </w:tcPr>
          <w:p w:rsidR="00B207E8" w:rsidRPr="00041935" w:rsidRDefault="00B207E8" w:rsidP="00FE6802">
            <w:pPr>
              <w:rPr>
                <w:rFonts w:ascii="Arial Narrow" w:hAnsi="Arial Narrow"/>
                <w:highlight w:val="green"/>
              </w:rPr>
            </w:pPr>
          </w:p>
        </w:tc>
      </w:tr>
      <w:tr w:rsidR="00D90360" w:rsidRPr="00E97663" w:rsidTr="00152C34">
        <w:trPr>
          <w:cantSplit/>
        </w:trPr>
        <w:tc>
          <w:tcPr>
            <w:tcW w:w="2500" w:type="pct"/>
          </w:tcPr>
          <w:p w:rsidR="00D90360" w:rsidRPr="00B207E8" w:rsidRDefault="00D90360" w:rsidP="005F3937">
            <w:pPr>
              <w:jc w:val="both"/>
              <w:rPr>
                <w:rFonts w:ascii="Arial Narrow" w:hAnsi="Arial Narrow"/>
                <w:lang w:val="fr-FR"/>
              </w:rPr>
            </w:pPr>
            <w:r w:rsidRPr="00B207E8">
              <w:rPr>
                <w:rFonts w:ascii="Arial Narrow" w:hAnsi="Arial Narrow"/>
                <w:lang w:val="fr-FR"/>
              </w:rPr>
              <w:t>Tant par leur physiologie que par leur comportement, les petits enfants courent plus de risques pour leur santé que les adultes exposés aux pesticides. Ils s'asseyent souvent par terre ou près du sol, là où la concentration est la plus élevée, saisissent toutes sortes d'objets qu’ils mettent en bouche. Ils touchent aussi à tout, par exemple au chien qui vient d'être traité contre les puces.</w:t>
            </w:r>
          </w:p>
        </w:tc>
        <w:tc>
          <w:tcPr>
            <w:tcW w:w="2500" w:type="pct"/>
          </w:tcPr>
          <w:p w:rsidR="00D90360" w:rsidRPr="00B207E8" w:rsidRDefault="00D90360" w:rsidP="00967278">
            <w:pPr>
              <w:rPr>
                <w:rFonts w:ascii="Arial Narrow" w:hAnsi="Arial Narrow"/>
              </w:rPr>
            </w:pPr>
            <w:r w:rsidRPr="00B207E8">
              <w:rPr>
                <w:rFonts w:ascii="Arial Narrow" w:hAnsi="Arial Narrow"/>
              </w:rPr>
              <w:t xml:space="preserve">Zowel door hun fysiologie als door hun gedragspatroon, lopen kleine kinderen een groter risico op gezondheidsschade dan volwassenen door blootstelling aan pesticiden. Ze zitten vaak op de grond of laag bij de grond waar de concentratie het hoogst is, nemen allerlei voorwerpen vast en stoppen die in hun mond. Ze raken ook </w:t>
            </w:r>
            <w:proofErr w:type="spellStart"/>
            <w:r w:rsidRPr="00B207E8">
              <w:rPr>
                <w:rFonts w:ascii="Arial Narrow" w:hAnsi="Arial Narrow"/>
              </w:rPr>
              <w:t>vanalles</w:t>
            </w:r>
            <w:proofErr w:type="spellEnd"/>
            <w:r w:rsidRPr="00B207E8">
              <w:rPr>
                <w:rFonts w:ascii="Arial Narrow" w:hAnsi="Arial Narrow"/>
              </w:rPr>
              <w:t xml:space="preserve"> aan, bijvoorbeeld de hond die net werd behandeld tegen vlooien.</w:t>
            </w:r>
          </w:p>
        </w:tc>
      </w:tr>
      <w:tr w:rsidR="00D90360" w:rsidRPr="00E97663" w:rsidTr="00152C34">
        <w:trPr>
          <w:cantSplit/>
        </w:trPr>
        <w:tc>
          <w:tcPr>
            <w:tcW w:w="2500" w:type="pct"/>
          </w:tcPr>
          <w:p w:rsidR="00D90360" w:rsidRPr="00E97663" w:rsidRDefault="00D90360" w:rsidP="005F3937">
            <w:pPr>
              <w:jc w:val="both"/>
              <w:rPr>
                <w:rFonts w:ascii="Arial Narrow" w:hAnsi="Arial Narrow"/>
              </w:rPr>
            </w:pPr>
          </w:p>
        </w:tc>
        <w:tc>
          <w:tcPr>
            <w:tcW w:w="2500" w:type="pct"/>
          </w:tcPr>
          <w:p w:rsidR="00D90360" w:rsidRPr="00041935" w:rsidRDefault="00D90360" w:rsidP="00967278">
            <w:pPr>
              <w:rPr>
                <w:rFonts w:ascii="Arial Narrow" w:hAnsi="Arial Narrow"/>
                <w:highlight w:val="green"/>
              </w:rPr>
            </w:pPr>
          </w:p>
        </w:tc>
      </w:tr>
      <w:tr w:rsidR="00D90360" w:rsidRPr="00E97663" w:rsidTr="00152C34">
        <w:trPr>
          <w:cantSplit/>
        </w:trPr>
        <w:tc>
          <w:tcPr>
            <w:tcW w:w="2500" w:type="pct"/>
          </w:tcPr>
          <w:p w:rsidR="00D90360" w:rsidRPr="00CB30ED" w:rsidRDefault="00D90360" w:rsidP="007E68F4">
            <w:pPr>
              <w:jc w:val="both"/>
              <w:rPr>
                <w:rFonts w:ascii="Arial Narrow" w:hAnsi="Arial Narrow"/>
                <w:lang w:val="fr-FR"/>
              </w:rPr>
            </w:pPr>
            <w:r w:rsidRPr="00CB30ED">
              <w:rPr>
                <w:rFonts w:ascii="Arial Narrow" w:hAnsi="Arial Narrow"/>
                <w:lang w:val="fr-FR"/>
              </w:rPr>
              <w:t>Avec votre aide, nous pouvons mettre en garde les parents contre les risques des pesticides pour la santé des jeunes enfants</w:t>
            </w:r>
            <w:r w:rsidR="00E40547" w:rsidRPr="00CB30ED">
              <w:rPr>
                <w:rFonts w:ascii="Arial Narrow" w:hAnsi="Arial Narrow"/>
                <w:lang w:val="fr-FR"/>
              </w:rPr>
              <w:t xml:space="preserve"> et des enfants à naître </w:t>
            </w:r>
            <w:r w:rsidR="007E68F4" w:rsidRPr="00CB30ED">
              <w:rPr>
                <w:rFonts w:ascii="Arial Narrow" w:hAnsi="Arial Narrow"/>
                <w:lang w:val="fr-FR"/>
              </w:rPr>
              <w:t>en leur expliquant</w:t>
            </w:r>
            <w:r w:rsidRPr="00CB30ED">
              <w:rPr>
                <w:rFonts w:ascii="Arial Narrow" w:hAnsi="Arial Narrow"/>
                <w:lang w:val="fr-FR"/>
              </w:rPr>
              <w:t xml:space="preserve"> la différence entre le risque et le danger avec toute la nuance nécessaire.</w:t>
            </w:r>
          </w:p>
        </w:tc>
        <w:tc>
          <w:tcPr>
            <w:tcW w:w="2500" w:type="pct"/>
          </w:tcPr>
          <w:p w:rsidR="00D90360" w:rsidRPr="00041935" w:rsidRDefault="00D90360" w:rsidP="00967278">
            <w:pPr>
              <w:rPr>
                <w:rFonts w:ascii="Arial Narrow" w:hAnsi="Arial Narrow"/>
              </w:rPr>
            </w:pPr>
            <w:r w:rsidRPr="00CB30ED">
              <w:rPr>
                <w:rFonts w:ascii="Arial Narrow" w:hAnsi="Arial Narrow"/>
              </w:rPr>
              <w:t>Met uw hulp kunnen we ouders waarschuwen voor de gezondheidsrisico’s van pesticiden voor jonge en ongeboren kinderen en hen met de nodige nuances het verschil duidelijk maken tussen risico en gevaar.</w:t>
            </w:r>
          </w:p>
        </w:tc>
      </w:tr>
    </w:tbl>
    <w:p w:rsidR="00152C34" w:rsidRDefault="00152C34" w:rsidP="00276EED"/>
    <w:p w:rsidR="00152C34" w:rsidRPr="00152C34" w:rsidRDefault="00152C34" w:rsidP="00276EED"/>
    <w:sectPr w:rsidR="00152C34" w:rsidRPr="00152C34" w:rsidSect="0021397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6C" w:rsidRDefault="003D576C">
      <w:r>
        <w:separator/>
      </w:r>
    </w:p>
  </w:endnote>
  <w:endnote w:type="continuationSeparator" w:id="0">
    <w:p w:rsidR="003D576C" w:rsidRDefault="003D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6C" w:rsidRDefault="003D576C">
      <w:r>
        <w:separator/>
      </w:r>
    </w:p>
  </w:footnote>
  <w:footnote w:type="continuationSeparator" w:id="0">
    <w:p w:rsidR="003D576C" w:rsidRDefault="003D576C">
      <w:r>
        <w:continuationSeparator/>
      </w:r>
    </w:p>
  </w:footnote>
  <w:footnote w:id="1">
    <w:p w:rsidR="00D90360" w:rsidRPr="00F36E16" w:rsidRDefault="00D90360" w:rsidP="00EC780B">
      <w:pPr>
        <w:pStyle w:val="Voetnoottekst"/>
        <w:rPr>
          <w:lang w:val="en-US"/>
        </w:rPr>
      </w:pPr>
      <w:r>
        <w:rPr>
          <w:rStyle w:val="Voetnootmarkering"/>
        </w:rPr>
        <w:footnoteRef/>
      </w:r>
      <w:r>
        <w:t xml:space="preserve"> </w:t>
      </w:r>
      <w:hyperlink r:id="rId1" w:history="1">
        <w:r w:rsidRPr="00152C34">
          <w:rPr>
            <w:rStyle w:val="Hyperlink"/>
            <w:rFonts w:ascii="Arial" w:hAnsi="Arial" w:cs="Arial"/>
            <w:sz w:val="18"/>
          </w:rPr>
          <w:t xml:space="preserve">Van </w:t>
        </w:r>
        <w:proofErr w:type="spellStart"/>
        <w:r w:rsidRPr="00152C34">
          <w:rPr>
            <w:rStyle w:val="Hyperlink"/>
            <w:rFonts w:ascii="Arial" w:hAnsi="Arial" w:cs="Arial"/>
            <w:sz w:val="18"/>
          </w:rPr>
          <w:t>Maele-Fabry</w:t>
        </w:r>
        <w:proofErr w:type="spellEnd"/>
        <w:r w:rsidRPr="00152C34">
          <w:rPr>
            <w:rStyle w:val="Hyperlink"/>
            <w:rFonts w:ascii="Arial" w:hAnsi="Arial" w:cs="Arial"/>
            <w:sz w:val="18"/>
          </w:rPr>
          <w:t xml:space="preserve"> G et al., 2011. </w:t>
        </w:r>
        <w:r w:rsidRPr="00152C34">
          <w:rPr>
            <w:rStyle w:val="Hyperlink"/>
            <w:rFonts w:ascii="Arial" w:hAnsi="Arial" w:cs="Arial"/>
            <w:sz w:val="18"/>
            <w:lang w:val="en-US"/>
          </w:rPr>
          <w:t xml:space="preserve">Residential exposure to pesticides and childhood </w:t>
        </w:r>
        <w:proofErr w:type="spellStart"/>
        <w:r w:rsidRPr="00152C34">
          <w:rPr>
            <w:rStyle w:val="Hyperlink"/>
            <w:rFonts w:ascii="Arial" w:hAnsi="Arial" w:cs="Arial"/>
            <w:sz w:val="18"/>
            <w:lang w:val="en-US"/>
          </w:rPr>
          <w:t>leukaemia</w:t>
        </w:r>
        <w:proofErr w:type="spellEnd"/>
        <w:r w:rsidRPr="00152C34">
          <w:rPr>
            <w:rStyle w:val="Hyperlink"/>
            <w:rFonts w:ascii="Arial" w:hAnsi="Arial" w:cs="Arial"/>
            <w:sz w:val="18"/>
            <w:lang w:val="en-US"/>
          </w:rPr>
          <w:t>: a systematic review and meta-analysis. Environ Int. 2011 Jan; 37(1):280-91.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1CC3"/>
    <w:multiLevelType w:val="hybridMultilevel"/>
    <w:tmpl w:val="461ADE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2182060"/>
    <w:multiLevelType w:val="hybridMultilevel"/>
    <w:tmpl w:val="5DE0AD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32444CD"/>
    <w:multiLevelType w:val="hybridMultilevel"/>
    <w:tmpl w:val="62AE22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ourceLng" w:val="nld"/>
    <w:docVar w:name="TargetLng" w:val="fra"/>
    <w:docVar w:name="TermBases" w:val="TermBase SPF|VanDale"/>
    <w:docVar w:name="TermBaseURL" w:val="http://vm-multitrans/multitransweb"/>
    <w:docVar w:name="TextBases" w:val="DG1 TextBase|DG2 TextBase|DG4 TextBase|DG5 TextBase|DOC TextBase|PO TextBase|QP_PV TextBase|SP_DVV TextBase"/>
    <w:docVar w:name="TextBaseURL" w:val="http://vm-multitrans/multitransweb"/>
    <w:docVar w:name="UILng" w:val="fr"/>
  </w:docVars>
  <w:rsids>
    <w:rsidRoot w:val="00AC4A3D"/>
    <w:rsid w:val="000160F7"/>
    <w:rsid w:val="00017589"/>
    <w:rsid w:val="000363C4"/>
    <w:rsid w:val="00041935"/>
    <w:rsid w:val="000476E1"/>
    <w:rsid w:val="000A7A14"/>
    <w:rsid w:val="000B439A"/>
    <w:rsid w:val="000C6B36"/>
    <w:rsid w:val="000D5881"/>
    <w:rsid w:val="0010179D"/>
    <w:rsid w:val="00152C34"/>
    <w:rsid w:val="001728C2"/>
    <w:rsid w:val="001801C2"/>
    <w:rsid w:val="001A039B"/>
    <w:rsid w:val="001B53CC"/>
    <w:rsid w:val="001D6E95"/>
    <w:rsid w:val="0021397A"/>
    <w:rsid w:val="00235200"/>
    <w:rsid w:val="00276EED"/>
    <w:rsid w:val="002E5ABD"/>
    <w:rsid w:val="0030739D"/>
    <w:rsid w:val="00330227"/>
    <w:rsid w:val="0033153E"/>
    <w:rsid w:val="00377A02"/>
    <w:rsid w:val="003D576C"/>
    <w:rsid w:val="00401634"/>
    <w:rsid w:val="00420B15"/>
    <w:rsid w:val="00480FCE"/>
    <w:rsid w:val="004C1EE7"/>
    <w:rsid w:val="004C40D6"/>
    <w:rsid w:val="004D478B"/>
    <w:rsid w:val="004F776B"/>
    <w:rsid w:val="00513340"/>
    <w:rsid w:val="00520BB5"/>
    <w:rsid w:val="00532CF7"/>
    <w:rsid w:val="0053669E"/>
    <w:rsid w:val="0058087E"/>
    <w:rsid w:val="00583302"/>
    <w:rsid w:val="00583F19"/>
    <w:rsid w:val="00590292"/>
    <w:rsid w:val="00595110"/>
    <w:rsid w:val="005D5918"/>
    <w:rsid w:val="005F3937"/>
    <w:rsid w:val="00601E63"/>
    <w:rsid w:val="0062325D"/>
    <w:rsid w:val="00641F6A"/>
    <w:rsid w:val="00643216"/>
    <w:rsid w:val="006857BB"/>
    <w:rsid w:val="006C4520"/>
    <w:rsid w:val="006C784D"/>
    <w:rsid w:val="006D1887"/>
    <w:rsid w:val="006F03A7"/>
    <w:rsid w:val="00723052"/>
    <w:rsid w:val="007241EA"/>
    <w:rsid w:val="007300F3"/>
    <w:rsid w:val="007343FF"/>
    <w:rsid w:val="00734571"/>
    <w:rsid w:val="00750A57"/>
    <w:rsid w:val="007650EE"/>
    <w:rsid w:val="00771BDC"/>
    <w:rsid w:val="00795886"/>
    <w:rsid w:val="007E68F4"/>
    <w:rsid w:val="0081351C"/>
    <w:rsid w:val="00844C34"/>
    <w:rsid w:val="00876ADC"/>
    <w:rsid w:val="0089636B"/>
    <w:rsid w:val="008C74DD"/>
    <w:rsid w:val="008E4FB1"/>
    <w:rsid w:val="008F0C1F"/>
    <w:rsid w:val="008F14F4"/>
    <w:rsid w:val="00907302"/>
    <w:rsid w:val="0091791D"/>
    <w:rsid w:val="00955DF1"/>
    <w:rsid w:val="00965DE0"/>
    <w:rsid w:val="00967278"/>
    <w:rsid w:val="00994A8A"/>
    <w:rsid w:val="009B4DBE"/>
    <w:rsid w:val="009E6318"/>
    <w:rsid w:val="00A06BD3"/>
    <w:rsid w:val="00A645EB"/>
    <w:rsid w:val="00AA4974"/>
    <w:rsid w:val="00AB43AC"/>
    <w:rsid w:val="00AC4A3D"/>
    <w:rsid w:val="00AD3B03"/>
    <w:rsid w:val="00AE1FC1"/>
    <w:rsid w:val="00AF6597"/>
    <w:rsid w:val="00B02EF6"/>
    <w:rsid w:val="00B207E8"/>
    <w:rsid w:val="00B30E38"/>
    <w:rsid w:val="00B61985"/>
    <w:rsid w:val="00B924B6"/>
    <w:rsid w:val="00BB07BB"/>
    <w:rsid w:val="00C00FFB"/>
    <w:rsid w:val="00C449FA"/>
    <w:rsid w:val="00C4755C"/>
    <w:rsid w:val="00C942A0"/>
    <w:rsid w:val="00CB30ED"/>
    <w:rsid w:val="00CB7505"/>
    <w:rsid w:val="00CC093D"/>
    <w:rsid w:val="00CC380B"/>
    <w:rsid w:val="00CE5364"/>
    <w:rsid w:val="00CF67A9"/>
    <w:rsid w:val="00D10EB3"/>
    <w:rsid w:val="00D331A0"/>
    <w:rsid w:val="00D45C44"/>
    <w:rsid w:val="00D47E5A"/>
    <w:rsid w:val="00D677B6"/>
    <w:rsid w:val="00D85282"/>
    <w:rsid w:val="00D90360"/>
    <w:rsid w:val="00DC4A9D"/>
    <w:rsid w:val="00E06C41"/>
    <w:rsid w:val="00E17D8A"/>
    <w:rsid w:val="00E22B35"/>
    <w:rsid w:val="00E24F63"/>
    <w:rsid w:val="00E40547"/>
    <w:rsid w:val="00E43753"/>
    <w:rsid w:val="00E43E20"/>
    <w:rsid w:val="00E6515B"/>
    <w:rsid w:val="00E77123"/>
    <w:rsid w:val="00E77C99"/>
    <w:rsid w:val="00E80A6D"/>
    <w:rsid w:val="00E97663"/>
    <w:rsid w:val="00E97BD6"/>
    <w:rsid w:val="00EA2C50"/>
    <w:rsid w:val="00EC780B"/>
    <w:rsid w:val="00ED5679"/>
    <w:rsid w:val="00EF301C"/>
    <w:rsid w:val="00EF687A"/>
    <w:rsid w:val="00F1440A"/>
    <w:rsid w:val="00F20438"/>
    <w:rsid w:val="00F34360"/>
    <w:rsid w:val="00F36E16"/>
    <w:rsid w:val="00F84AEA"/>
    <w:rsid w:val="00F860F5"/>
    <w:rsid w:val="00F86BFA"/>
    <w:rsid w:val="00F96FC3"/>
    <w:rsid w:val="00F97262"/>
    <w:rsid w:val="00FA12FE"/>
    <w:rsid w:val="00FA6B14"/>
    <w:rsid w:val="00FD6EFB"/>
    <w:rsid w:val="00FE182A"/>
    <w:rsid w:val="00FF05F0"/>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1BDC"/>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91791D"/>
    <w:rPr>
      <w:sz w:val="20"/>
      <w:szCs w:val="20"/>
    </w:rPr>
  </w:style>
  <w:style w:type="character" w:customStyle="1" w:styleId="FootnoteTextChar">
    <w:name w:val="Footnote Text Char"/>
    <w:uiPriority w:val="99"/>
    <w:semiHidden/>
    <w:rsid w:val="00A16D2C"/>
    <w:rPr>
      <w:sz w:val="20"/>
      <w:szCs w:val="20"/>
      <w:lang w:val="nl-NL" w:eastAsia="nl-NL"/>
    </w:rPr>
  </w:style>
  <w:style w:type="character" w:styleId="Voetnootmarkering">
    <w:name w:val="footnote reference"/>
    <w:uiPriority w:val="99"/>
    <w:semiHidden/>
    <w:rsid w:val="0091791D"/>
    <w:rPr>
      <w:rFonts w:cs="Times New Roman"/>
      <w:vertAlign w:val="superscript"/>
    </w:rPr>
  </w:style>
  <w:style w:type="paragraph" w:styleId="Ballontekst">
    <w:name w:val="Balloon Text"/>
    <w:basedOn w:val="Standaard"/>
    <w:link w:val="BallontekstChar"/>
    <w:uiPriority w:val="99"/>
    <w:rsid w:val="004F776B"/>
    <w:rPr>
      <w:rFonts w:ascii="Tahoma" w:hAnsi="Tahoma"/>
      <w:sz w:val="16"/>
      <w:szCs w:val="16"/>
    </w:rPr>
  </w:style>
  <w:style w:type="character" w:customStyle="1" w:styleId="BallontekstChar">
    <w:name w:val="Ballontekst Char"/>
    <w:link w:val="Ballontekst"/>
    <w:uiPriority w:val="99"/>
    <w:locked/>
    <w:rsid w:val="004F776B"/>
    <w:rPr>
      <w:rFonts w:ascii="Tahoma" w:hAnsi="Tahoma"/>
      <w:sz w:val="16"/>
      <w:lang w:val="nl-NL" w:eastAsia="nl-NL"/>
    </w:rPr>
  </w:style>
  <w:style w:type="paragraph" w:styleId="Koptekst">
    <w:name w:val="header"/>
    <w:basedOn w:val="Standaard"/>
    <w:link w:val="KoptekstChar"/>
    <w:uiPriority w:val="99"/>
    <w:rsid w:val="00520BB5"/>
    <w:pPr>
      <w:tabs>
        <w:tab w:val="center" w:pos="4536"/>
        <w:tab w:val="right" w:pos="9072"/>
      </w:tabs>
    </w:pPr>
  </w:style>
  <w:style w:type="character" w:customStyle="1" w:styleId="KoptekstChar">
    <w:name w:val="Koptekst Char"/>
    <w:link w:val="Koptekst"/>
    <w:uiPriority w:val="99"/>
    <w:semiHidden/>
    <w:rsid w:val="00A16D2C"/>
    <w:rPr>
      <w:sz w:val="24"/>
      <w:szCs w:val="24"/>
      <w:lang w:val="nl-NL" w:eastAsia="nl-NL"/>
    </w:rPr>
  </w:style>
  <w:style w:type="paragraph" w:styleId="Voettekst">
    <w:name w:val="footer"/>
    <w:basedOn w:val="Standaard"/>
    <w:link w:val="VoettekstChar"/>
    <w:uiPriority w:val="99"/>
    <w:rsid w:val="00520BB5"/>
    <w:pPr>
      <w:tabs>
        <w:tab w:val="center" w:pos="4536"/>
        <w:tab w:val="right" w:pos="9072"/>
      </w:tabs>
    </w:pPr>
  </w:style>
  <w:style w:type="character" w:customStyle="1" w:styleId="VoettekstChar">
    <w:name w:val="Voettekst Char"/>
    <w:link w:val="Voettekst"/>
    <w:uiPriority w:val="99"/>
    <w:semiHidden/>
    <w:rsid w:val="00A16D2C"/>
    <w:rPr>
      <w:sz w:val="24"/>
      <w:szCs w:val="24"/>
      <w:lang w:val="nl-NL" w:eastAsia="nl-NL"/>
    </w:rPr>
  </w:style>
  <w:style w:type="table" w:styleId="Tabelraster">
    <w:name w:val="Table Grid"/>
    <w:basedOn w:val="Standaardtabel"/>
    <w:uiPriority w:val="99"/>
    <w:rsid w:val="00276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rsid w:val="00EC780B"/>
    <w:rPr>
      <w:sz w:val="16"/>
    </w:rPr>
  </w:style>
  <w:style w:type="paragraph" w:styleId="Tekstopmerking">
    <w:name w:val="annotation text"/>
    <w:basedOn w:val="Standaard"/>
    <w:link w:val="TekstopmerkingChar"/>
    <w:uiPriority w:val="99"/>
    <w:rsid w:val="00EC780B"/>
    <w:rPr>
      <w:sz w:val="20"/>
      <w:szCs w:val="20"/>
    </w:rPr>
  </w:style>
  <w:style w:type="character" w:customStyle="1" w:styleId="CommentTextChar">
    <w:name w:val="Comment Text Char"/>
    <w:uiPriority w:val="99"/>
    <w:semiHidden/>
    <w:rsid w:val="00A16D2C"/>
    <w:rPr>
      <w:sz w:val="20"/>
      <w:szCs w:val="20"/>
      <w:lang w:val="nl-NL" w:eastAsia="nl-NL"/>
    </w:rPr>
  </w:style>
  <w:style w:type="character" w:customStyle="1" w:styleId="TekstopmerkingChar">
    <w:name w:val="Tekst opmerking Char"/>
    <w:link w:val="Tekstopmerking"/>
    <w:uiPriority w:val="99"/>
    <w:locked/>
    <w:rsid w:val="00EC780B"/>
    <w:rPr>
      <w:lang w:val="nl-NL" w:eastAsia="nl-NL"/>
    </w:rPr>
  </w:style>
  <w:style w:type="character" w:customStyle="1" w:styleId="VoetnoottekstChar">
    <w:name w:val="Voetnoottekst Char"/>
    <w:link w:val="Voetnoottekst"/>
    <w:uiPriority w:val="99"/>
    <w:locked/>
    <w:rsid w:val="00EC780B"/>
    <w:rPr>
      <w:lang w:val="nl-NL" w:eastAsia="nl-NL"/>
    </w:rPr>
  </w:style>
  <w:style w:type="character" w:styleId="Hyperlink">
    <w:name w:val="Hyperlink"/>
    <w:basedOn w:val="Standaardalinea-lettertype"/>
    <w:uiPriority w:val="99"/>
    <w:unhideWhenUsed/>
    <w:rsid w:val="00152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1508">
      <w:marLeft w:val="0"/>
      <w:marRight w:val="0"/>
      <w:marTop w:val="0"/>
      <w:marBottom w:val="0"/>
      <w:divBdr>
        <w:top w:val="none" w:sz="0" w:space="0" w:color="auto"/>
        <w:left w:val="none" w:sz="0" w:space="0" w:color="auto"/>
        <w:bottom w:val="none" w:sz="0" w:space="0" w:color="auto"/>
        <w:right w:val="none" w:sz="0" w:space="0" w:color="auto"/>
      </w:divBdr>
      <w:divsChild>
        <w:div w:id="272371503">
          <w:marLeft w:val="0"/>
          <w:marRight w:val="0"/>
          <w:marTop w:val="0"/>
          <w:marBottom w:val="0"/>
          <w:divBdr>
            <w:top w:val="none" w:sz="0" w:space="0" w:color="auto"/>
            <w:left w:val="none" w:sz="0" w:space="0" w:color="auto"/>
            <w:bottom w:val="none" w:sz="0" w:space="0" w:color="auto"/>
            <w:right w:val="none" w:sz="0" w:space="0" w:color="auto"/>
          </w:divBdr>
          <w:divsChild>
            <w:div w:id="272371500">
              <w:marLeft w:val="0"/>
              <w:marRight w:val="0"/>
              <w:marTop w:val="0"/>
              <w:marBottom w:val="0"/>
              <w:divBdr>
                <w:top w:val="none" w:sz="0" w:space="0" w:color="auto"/>
                <w:left w:val="none" w:sz="0" w:space="0" w:color="auto"/>
                <w:bottom w:val="none" w:sz="0" w:space="0" w:color="auto"/>
                <w:right w:val="none" w:sz="0" w:space="0" w:color="auto"/>
              </w:divBdr>
              <w:divsChild>
                <w:div w:id="272371507">
                  <w:marLeft w:val="0"/>
                  <w:marRight w:val="0"/>
                  <w:marTop w:val="0"/>
                  <w:marBottom w:val="0"/>
                  <w:divBdr>
                    <w:top w:val="none" w:sz="0" w:space="0" w:color="auto"/>
                    <w:left w:val="none" w:sz="0" w:space="0" w:color="auto"/>
                    <w:bottom w:val="none" w:sz="0" w:space="0" w:color="auto"/>
                    <w:right w:val="none" w:sz="0" w:space="0" w:color="auto"/>
                  </w:divBdr>
                  <w:divsChild>
                    <w:div w:id="272371499">
                      <w:marLeft w:val="0"/>
                      <w:marRight w:val="0"/>
                      <w:marTop w:val="0"/>
                      <w:marBottom w:val="0"/>
                      <w:divBdr>
                        <w:top w:val="none" w:sz="0" w:space="0" w:color="auto"/>
                        <w:left w:val="none" w:sz="0" w:space="0" w:color="auto"/>
                        <w:bottom w:val="none" w:sz="0" w:space="0" w:color="auto"/>
                        <w:right w:val="none" w:sz="0" w:space="0" w:color="auto"/>
                      </w:divBdr>
                      <w:divsChild>
                        <w:div w:id="272371505">
                          <w:marLeft w:val="0"/>
                          <w:marRight w:val="0"/>
                          <w:marTop w:val="0"/>
                          <w:marBottom w:val="0"/>
                          <w:divBdr>
                            <w:top w:val="none" w:sz="0" w:space="0" w:color="auto"/>
                            <w:left w:val="none" w:sz="0" w:space="0" w:color="auto"/>
                            <w:bottom w:val="none" w:sz="0" w:space="0" w:color="auto"/>
                            <w:right w:val="none" w:sz="0" w:space="0" w:color="auto"/>
                          </w:divBdr>
                          <w:divsChild>
                            <w:div w:id="272371506">
                              <w:marLeft w:val="0"/>
                              <w:marRight w:val="0"/>
                              <w:marTop w:val="0"/>
                              <w:marBottom w:val="0"/>
                              <w:divBdr>
                                <w:top w:val="none" w:sz="0" w:space="0" w:color="auto"/>
                                <w:left w:val="none" w:sz="0" w:space="0" w:color="auto"/>
                                <w:bottom w:val="none" w:sz="0" w:space="0" w:color="auto"/>
                                <w:right w:val="none" w:sz="0" w:space="0" w:color="auto"/>
                              </w:divBdr>
                              <w:divsChild>
                                <w:div w:id="272371502">
                                  <w:marLeft w:val="0"/>
                                  <w:marRight w:val="0"/>
                                  <w:marTop w:val="0"/>
                                  <w:marBottom w:val="0"/>
                                  <w:divBdr>
                                    <w:top w:val="none" w:sz="0" w:space="0" w:color="auto"/>
                                    <w:left w:val="none" w:sz="0" w:space="0" w:color="auto"/>
                                    <w:bottom w:val="none" w:sz="0" w:space="0" w:color="auto"/>
                                    <w:right w:val="none" w:sz="0" w:space="0" w:color="auto"/>
                                  </w:divBdr>
                                  <w:divsChild>
                                    <w:div w:id="272371501">
                                      <w:marLeft w:val="0"/>
                                      <w:marRight w:val="0"/>
                                      <w:marTop w:val="0"/>
                                      <w:marBottom w:val="0"/>
                                      <w:divBdr>
                                        <w:top w:val="none" w:sz="0" w:space="0" w:color="auto"/>
                                        <w:left w:val="none" w:sz="0" w:space="0" w:color="auto"/>
                                        <w:bottom w:val="none" w:sz="0" w:space="0" w:color="auto"/>
                                        <w:right w:val="none" w:sz="0" w:space="0" w:color="auto"/>
                                      </w:divBdr>
                                    </w:div>
                                    <w:div w:id="272371504">
                                      <w:marLeft w:val="0"/>
                                      <w:marRight w:val="0"/>
                                      <w:marTop w:val="0"/>
                                      <w:marBottom w:val="0"/>
                                      <w:divBdr>
                                        <w:top w:val="none" w:sz="0" w:space="0" w:color="auto"/>
                                        <w:left w:val="none" w:sz="0" w:space="0" w:color="auto"/>
                                        <w:bottom w:val="none" w:sz="0" w:space="0" w:color="auto"/>
                                        <w:right w:val="none" w:sz="0" w:space="0" w:color="auto"/>
                                      </w:divBdr>
                                    </w:div>
                                    <w:div w:id="2723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belgium.be/internet2Prd/groups/public/@public/@prpb/documents/ie2form/19079998.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belgium.be/internet2Prd/groups/public/@public/@prpb/documents/ie2form/190799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5170</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FOD Volksgezondheid raadt gebruik van pesticiden en biociden in omgeving van zwangere vrouwen en kleine kinderen af</vt:lpstr>
      <vt:lpstr>FOD Volksgezondheid raadt gebruik van pesticiden en biociden in omgeving van zwangere vrouwen en kleine kinderen af</vt:lpstr>
    </vt:vector>
  </TitlesOfParts>
  <Company>FOD-SPF SPSCAE-VVVVL</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FOD Volksgezondheid raadt gebruik van pesticiden en biociden in omgeving van zwangere vrouwen en kleine kinderen af</dc:title>
  <dc:creator>kfn</dc:creator>
  <cp:lastModifiedBy>Qadari Ali</cp:lastModifiedBy>
  <cp:revision>5</cp:revision>
  <dcterms:created xsi:type="dcterms:W3CDTF">2012-03-29T15:13:00Z</dcterms:created>
  <dcterms:modified xsi:type="dcterms:W3CDTF">2012-09-11T08:41:00Z</dcterms:modified>
</cp:coreProperties>
</file>